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1B4D" w:rsidRDefault="00B41AE5" w:rsidP="00A93FFE">
      <w:pPr>
        <w:spacing w:line="240" w:lineRule="auto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-399415</wp:posOffset>
            </wp:positionH>
            <wp:positionV relativeFrom="paragraph">
              <wp:posOffset>-190500</wp:posOffset>
            </wp:positionV>
            <wp:extent cx="2072640" cy="1468755"/>
            <wp:effectExtent l="0" t="0" r="3810" b="0"/>
            <wp:wrapSquare wrapText="bothSides" distT="114300" distB="114300" distL="114300" distR="114300"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468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1B4D" w:rsidRDefault="00B41AE5" w:rsidP="00A93FF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КОНКУРС ПРОФЕССИОНАЛЬНОГО МАСТЕРСТВА ПЕДАГОГОВ</w:t>
      </w:r>
      <w:r w:rsidR="00A93F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1B4D" w:rsidRDefault="00A93FFE" w:rsidP="00A93FF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003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ЛУЧШИЙ УЧИТЕЛЬ ГОДА</w:t>
      </w:r>
    </w:p>
    <w:p w:rsidR="00101B4D" w:rsidRDefault="00B41AE5" w:rsidP="00A93FFE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ГОРОДА КАЗАНИ – 2016</w:t>
      </w:r>
      <w:r w:rsidR="004E003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1B4D" w:rsidRDefault="00101B4D">
      <w:pPr>
        <w:spacing w:line="360" w:lineRule="auto"/>
        <w:ind w:firstLine="420"/>
        <w:jc w:val="right"/>
      </w:pPr>
    </w:p>
    <w:p w:rsidR="00101B4D" w:rsidRDefault="00101B4D">
      <w:pPr>
        <w:spacing w:line="360" w:lineRule="auto"/>
        <w:ind w:firstLine="420"/>
        <w:jc w:val="right"/>
      </w:pPr>
    </w:p>
    <w:p w:rsidR="00101B4D" w:rsidRDefault="00B41AE5">
      <w:pPr>
        <w:spacing w:line="360" w:lineRule="auto"/>
        <w:ind w:firstLine="4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КОНКУРСНОЕ ЗАДАНИЕ </w:t>
      </w:r>
    </w:p>
    <w:p w:rsidR="00101B4D" w:rsidRDefault="004E003F">
      <w:pPr>
        <w:spacing w:line="360" w:lineRule="auto"/>
        <w:ind w:firstLine="42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41AE5">
        <w:rPr>
          <w:rFonts w:ascii="Times New Roman" w:eastAsia="Times New Roman" w:hAnsi="Times New Roman" w:cs="Times New Roman"/>
          <w:b/>
          <w:sz w:val="28"/>
          <w:szCs w:val="28"/>
        </w:rPr>
        <w:t>ОПИСАНИЕ ОПЫТА РАБОТЫ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3FFE" w:rsidRDefault="00A93FFE" w:rsidP="00A93FFE">
      <w:pPr>
        <w:spacing w:line="360" w:lineRule="auto"/>
        <w:ind w:firstLine="420"/>
        <w:jc w:val="right"/>
      </w:pPr>
      <w:proofErr w:type="spellStart"/>
      <w:r>
        <w:rPr>
          <w:rFonts w:ascii="Times New Roman" w:eastAsia="Times New Roman" w:hAnsi="Times New Roman" w:cs="Times New Roman"/>
          <w:i/>
        </w:rPr>
        <w:t>Гаязова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Н.Т.,</w:t>
      </w:r>
    </w:p>
    <w:p w:rsidR="00A93FFE" w:rsidRDefault="00A93FFE" w:rsidP="00A93FFE">
      <w:pPr>
        <w:spacing w:line="360" w:lineRule="auto"/>
        <w:ind w:firstLine="420"/>
        <w:jc w:val="right"/>
      </w:pPr>
      <w:r>
        <w:rPr>
          <w:rFonts w:ascii="Times New Roman" w:eastAsia="Times New Roman" w:hAnsi="Times New Roman" w:cs="Times New Roman"/>
          <w:i/>
        </w:rPr>
        <w:t xml:space="preserve">учитель информатики </w:t>
      </w:r>
    </w:p>
    <w:p w:rsidR="00A93FFE" w:rsidRDefault="00A93FFE" w:rsidP="00A93FFE">
      <w:pPr>
        <w:spacing w:line="360" w:lineRule="auto"/>
        <w:ind w:firstLine="420"/>
        <w:jc w:val="right"/>
      </w:pPr>
      <w:r>
        <w:rPr>
          <w:rFonts w:ascii="Times New Roman" w:eastAsia="Times New Roman" w:hAnsi="Times New Roman" w:cs="Times New Roman"/>
          <w:i/>
        </w:rPr>
        <w:t xml:space="preserve">МБОУ </w:t>
      </w:r>
      <w:r w:rsidR="004E003F">
        <w:rPr>
          <w:rFonts w:ascii="Times New Roman" w:eastAsia="Times New Roman" w:hAnsi="Times New Roman" w:cs="Times New Roman"/>
          <w:i/>
        </w:rPr>
        <w:t>«</w:t>
      </w:r>
      <w:r>
        <w:rPr>
          <w:rFonts w:ascii="Times New Roman" w:eastAsia="Times New Roman" w:hAnsi="Times New Roman" w:cs="Times New Roman"/>
          <w:i/>
        </w:rPr>
        <w:t>Лицей №177</w:t>
      </w:r>
      <w:r w:rsidR="004E003F">
        <w:rPr>
          <w:rFonts w:ascii="Times New Roman" w:eastAsia="Times New Roman" w:hAnsi="Times New Roman" w:cs="Times New Roman"/>
          <w:i/>
        </w:rPr>
        <w:t>»</w:t>
      </w:r>
      <w:r>
        <w:rPr>
          <w:rFonts w:ascii="Times New Roman" w:eastAsia="Times New Roman" w:hAnsi="Times New Roman" w:cs="Times New Roman"/>
          <w:i/>
        </w:rPr>
        <w:t xml:space="preserve"> г. Казани</w:t>
      </w:r>
    </w:p>
    <w:p w:rsidR="00101B4D" w:rsidRPr="00A93FFE" w:rsidRDefault="00101B4D">
      <w:pPr>
        <w:spacing w:line="360" w:lineRule="auto"/>
        <w:ind w:left="4254"/>
        <w:jc w:val="both"/>
        <w:rPr>
          <w:sz w:val="16"/>
          <w:szCs w:val="16"/>
        </w:rPr>
      </w:pPr>
    </w:p>
    <w:p w:rsidR="00101B4D" w:rsidRDefault="00B41AE5">
      <w:pPr>
        <w:spacing w:line="360" w:lineRule="auto"/>
        <w:ind w:left="-5" w:firstLine="55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Приоритетной целью современного российского образования становится полноценное развитие способностей ученика учиться самому. Также  социальный заказ государства, реализованный в федеральных государственных образовательных стандартах второго поколения (ФГОС), направлен на формирование ключевых компетенций учащихся, что требует непрерывного совершенствования педагогического мастерства учителей для осуществления этих задач.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Понимая важность саморазвития в нашей профессии и актуальность моей специальности, я стараюсь всегда идти вперед и развиваться.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Став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дипломированным специалистом и начав работу в школе, я продолжила своё образование в аспирантуре, за годы работы стала сертифицированным педагогом Сетевой Академии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Cisco</w:t>
      </w:r>
      <w:proofErr w:type="spellEnd"/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НОУ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Открытый молодёжный университет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прошла профессиональную переподготовку по программе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Менеджмент в образовании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пятнадцать курсов повышения квалификации.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Моя работа как учителя-предметника не заканчивается проведением уроков и тематических кружков с учащимися. Активная жизненная позиция и неиссякаемый интерес к научным исследованиям проявляются в инновационной деятельности, в реализации многочисленных образовательных проектов, в организации научно-исследовательской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 учащимися. К таковым можно отнести апробацию электронных учебников различных авторов, разработку дистанционных курсов для учащихся, реализацию республиканского проекта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ИТ-класс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координацию работы музея информационных технологий лицея №177, реализацию республиканского сетевого проекта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Школьная Академия Наук и Сотрудничества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поддержке Министерства образования и науки Республики Татарстан. Результативным является многолетнее сотрудничество с Высшей школой информационных технологий и информационных систем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П)ФУ и с НОУ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Открытый молодёжный университет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Томска. Кроме этого, я читаю лекции и провожу практикумы для студентов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П)ФУ, осуществляю руководство их педагогической практикой.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Моя специальность позволяет мне решать широкий круг профессиональных задач. Так, являясь ИКТ-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 помогаю широкому кругу пользователей осваивать новые информационные технологии, которые с каждым годом становятся все более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приближенными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людям и поддерживают сетевые взаимодействия, являющиеся востребованными в современной науке, культуре и производстве. Решая эту задачу, в рамках работы Центра информационных технологий (ЦИТ) лицея №177 я несколько лет проводила курсы по программе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Университет третьего возраста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пенсионеров. Будучи руководителем школьной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 по информатике, организованной МО и Н РТ, я провожу обучающие занятия, сетевые и очные консультации для коллег из лицея, школ нашего района, города, республики. Являясь руководителем районного и школьного методического объединений учителей информатики,  организую информационно-методические совещания, круглые столы, семинары-практикумы, предметные недели  по учебно-методическим вопросам.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Членство в Ассоциации молодых педагогов и руководителей республики и района позволяет мне сотрудничать с молодыми специалистами, обмениваться опытом и творческими идеями. 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Ещё Л.Н. Толстой  утверждал, что и воспитание, и образование неразделимы, нельзя воспитывать, не передавая знания,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всякое же знание действует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Мне близка точка зрения писателя, поэтому помимо преподавательской деятельности мною проводится большая воспитательная работа в рамках уроков и внеурочной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в лицее, так и за его пределами. Например, с 2006 года по настоящее время я с  удовольствием работаю в профильных детских оздоровительных лагерях по всей России и провожу различные курсы по фото- и видеомонтажу, моделированию, 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-программированию; активно использую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медиатехнологии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 внеурочной деятельности с целью создания с учащимися анимационной пластилиновой мультипликации, игровых фильмов, социальных роликов и фильмов, направленных на воспитание чувства патриотизма и осознание своей значимости в обществе. Участвую в творческих конкурсах для учителей районного и городского уровней, например, в  вокальном конкурсе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Две звезды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конкурсах театральных поставок среди коллективов общеобразовательных учреждений.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Такой творческий подход к работе позволяет мне формировать эмоционально-положительное отношение учащихся к учебному труду, знаниям, науке.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Приоритеты образования в период информатизации современного общества требует замены старой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знаниевой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парадигмы - на новую, развивающую учащегося. Исходя из этого, я, как учитель информатики, организую самостоятельную познавательную деятельность учащихся, стараюсь научить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добывать знания и применять их на практике. В процессе обучения я опираюсь на индивидуальные особенности школьника, а для этого изучаю личность каждого ученика, его взаимоотношения с одноклассниками, родителями.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Педагогика сотрудничества, последователем которой я являюсь, представляет из себя одно из наиболее всеобъемлющих педагогических обобщений 80-х годах прошлого столетия, вызвавших к жизни многочисленные инновационные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процессы в образовании, в которой соединяются лучшие традиции русской школы (К. Д. Ушинский, Н. П. Пирогов, Л. Н. Толстой), школы советского периода (С.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В. А. Сухомлинский, А. С. Макаренко) и зарубежных педагогов (Ж. Ж.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Руссо, Я. Корчак, 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Роджерс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Э. Берн) в области психолого-педагогической практики и науки.</w:t>
      </w:r>
      <w:proofErr w:type="gramEnd"/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Стремительное развитие информационно-коммуникационных технологий и появление новых дидактических возможностей их использования в образовании побуждает педагогов искать новые, современные подходы к организации процесса обучения, которые позволяют организовать сотрудничество всех участников образовательного процесса.  Эффективным способом организации совместной деятельности в данном случае может служить сетевое взаимодействие, под которым нужно понимать деятельность по совместному использованию информационных, инновационных, учебных и учебно-методических ресурсов и на его основе подготовки новых документов. Сетевое взаимодействие является фактором обеспечения доступности качественного образования, одним из наиболее перспективных направлений организации образовательного процесса, имея большие возможности, дополняет традиционную систему обучения и  при правильном сочетании содержания и методов ведет к достижению качественных результатов.</w:t>
      </w:r>
    </w:p>
    <w:p w:rsidR="00101B4D" w:rsidRDefault="00B41AE5">
      <w:pPr>
        <w:spacing w:line="360" w:lineRule="auto"/>
        <w:ind w:firstLine="705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Взаимодействие с обучающимися разных категорий (профессиональная горизонталь) и взаимодействие с коллегами различного статуса (профессиональная вертикаль) помогли мне сформулировать методическую тему: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Сетевое взаимодействие как средство формирования ключевых компетенций учащихся и профессионального мастерства учителей в целях реализации ФГОС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Тема определила и цель моей педагогической деятельности: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4E003F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Создать условия для формирования ключевых компетенций учащихся и совершенствования педагогического мастерства учителей через их сетевое взаимодействие</w:t>
      </w:r>
      <w:r w:rsidR="004E003F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Для достижения цели важным явилось изучение педагогического опыта организации сетевых взаимодействий; разработка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апробация форм сетевых взаимодействий для различных участников образовательного процесса; выявление эффективных форм сетевых взаимодействий; разработка модели системы сетевых взаимодействий в лицее и ее внедрение не только в лицее, но и в нашем районе, городе, республике.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Проблема организации сетевых взаимодействий в научной литературе рассматривается в первую очередь в аспекте внедрения дистанционных технологий в образование, взаимодействия личности в информационной среде обучения, общения посредством информационных технологий. Мною изучены ряд работ, посвященных проблемам определения сущности сетевого взаимодействия (А.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Адамский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Е. В. Василевская, Е. Н. Глубокова, И. Э. Кондракова и др.) и организации на его основе учебного процесса (М. 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Кондакова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Е. Я. Подгорная, Т. М. Третьяк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), а также работы в области общей  методологии организации сетевого взаимодействия (А. Л. Гапоненко, А. И. Готская, Т. 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Орлова, Р. В. Приходько, Э.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Скоблева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Практика применения сетевых взаимодействий осваивались мною на базе сетевых площадок всероссийских проектов </w:t>
      </w:r>
      <w:r w:rsidR="004E003F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Образовательная галактика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Intel</w:t>
      </w:r>
      <w:proofErr w:type="spellEnd"/>
      <w:r w:rsidR="004E003F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</w:t>
      </w:r>
      <w:r w:rsidR="004E003F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Летописи</w:t>
      </w:r>
      <w:r w:rsidR="004E003F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101B4D" w:rsidRDefault="00B41AE5">
      <w:pPr>
        <w:spacing w:line="360" w:lineRule="auto"/>
        <w:ind w:firstLine="705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Анализ научной литературы и собственная практическая деятельность позволя</w:t>
      </w:r>
      <w:r>
        <w:rPr>
          <w:rFonts w:ascii="Times New Roman" w:eastAsia="Times New Roman" w:hAnsi="Times New Roman" w:cs="Times New Roman"/>
          <w:sz w:val="28"/>
          <w:szCs w:val="28"/>
        </w:rPr>
        <w:t>ют констатировать, что в настоящее время существует противоречие между уже сложившимся опытом сетевых взаимодействий учащихся  в основном стихийного характера и отсутствием опыта использования сетевых взаимодействий в образовательных целях, 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также между социальным заказом общества на обеспечение высокого качества образования и отсутствием отработанного механизма использования для этого возможностей сетевого взаимодействия. </w:t>
      </w:r>
      <w:proofErr w:type="gramEnd"/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 постаралась построить эффективную модель сетевых взаимодействий, которая обладает большими дидактическими возможностям</w:t>
      </w:r>
      <w:r w:rsidR="00771086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направленными на развитие ключевых компетенций моих учащихся и сотрудничество с моими коллегами. В этой модели сетевые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инструменты определяют формы образовательных взаимодействий. Блоги, сетевые сообщества помогают реализовывать сетевое общение, онлайн-календари - планировать и вести учёт деятельности с коллегами и учащимися. Сетевые инструменты позволяют организовывать опросы, осуществлять совместную работу над документами, также их хранение.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программ для сетевого общения я провожу консультации, веду деловые переговоры с коллегами, участвую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видеоконференциях. Будучи активным участником профессиональных сообществ, я перенимаю опыт коллег, а также делюсь своим опытом. Администрируя учебные сетевые сообщества и сообщества в социальных сетях,  взаимодействую с учениками и их родителями, общественностью.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работы с учащимися в дистанционном режиме использую обучающие сайты, электронные учебники, также разработанный мной  курс в системе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Кирилл и Мефодий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разделе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Мои факультативы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Электронное образование в Республике Татарстан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публикую материалы для учащихся, в том числе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дому.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РешуЕГЭ</w:t>
      </w:r>
      <w:proofErr w:type="spellEnd"/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являюсь экспертом по проверке работ учащихся по всей России, что способствует качественной подготовке и моих учащихся к итоговой аттестации.  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являюсь администратором сайта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лицея</w:t>
        </w:r>
      </w:hyperlink>
      <w:r w:rsidR="00D404A8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 xml:space="preserve"> №177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своего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персонального сайта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курирую работу сайта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ИТ-класса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администрируют сами учащиеся.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Вышеописанные сетевые взаимодействия, которым я уделяю внимание в своей методической работе и которые я осуществляю с учащимися и коллегами, повышают эффективность моей педагогической деятельности и напрямую влияют на качество обучения.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Это позволяет моим ученикам достигать высоких результатов на итоговой аттестации (см. рис. 1, 2), становиться победителями многочисленных конкурсов, олимпиад и конференций различного уровня (</w:t>
      </w:r>
      <w:r w:rsidR="00D404A8">
        <w:rPr>
          <w:rFonts w:ascii="Times New Roman" w:eastAsia="Times New Roman" w:hAnsi="Times New Roman" w:cs="Times New Roman"/>
          <w:sz w:val="28"/>
          <w:szCs w:val="28"/>
        </w:rPr>
        <w:t xml:space="preserve">см.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рис.3): республиканский конкурс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Юный программист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Фестиваль проектов республиканского проекта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IT-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JUMP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олимпиада школьников Н. П. Румянцева, всероссийский молодежный конкурс идей бизнес-проектов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Разбуди инвестора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многие другие конкурсы компьютерного творчества.</w:t>
      </w:r>
      <w:proofErr w:type="gramEnd"/>
    </w:p>
    <w:p w:rsidR="00101B4D" w:rsidRDefault="00B41AE5">
      <w:pPr>
        <w:spacing w:line="360" w:lineRule="auto"/>
        <w:ind w:firstLine="705"/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1. Результативность ЕГЭ по информатике</w:t>
      </w:r>
    </w:p>
    <w:tbl>
      <w:tblPr>
        <w:tblStyle w:val="a5"/>
        <w:tblW w:w="97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2250"/>
        <w:gridCol w:w="3360"/>
        <w:gridCol w:w="2430"/>
      </w:tblGrid>
      <w:tr w:rsidR="00101B4D">
        <w:trPr>
          <w:jc w:val="center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сдачи ЕГЭ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выпускников, сдававших ЕГЭ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Процент выпускников, показавших высокие результаты </w:t>
            </w:r>
          </w:p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(больше 70 баллов)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Максимальный балл, %</w:t>
            </w:r>
          </w:p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(кол-во учащихся)</w:t>
            </w:r>
          </w:p>
        </w:tc>
      </w:tr>
      <w:tr w:rsidR="00101B4D">
        <w:trPr>
          <w:jc w:val="center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75 (1) </w:t>
            </w:r>
          </w:p>
        </w:tc>
      </w:tr>
      <w:tr w:rsidR="00101B4D">
        <w:trPr>
          <w:jc w:val="center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 (2)</w:t>
            </w:r>
          </w:p>
        </w:tc>
      </w:tr>
      <w:tr w:rsidR="00101B4D">
        <w:trPr>
          <w:jc w:val="center"/>
        </w:trPr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2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 (1)</w:t>
            </w:r>
          </w:p>
        </w:tc>
      </w:tr>
    </w:tbl>
    <w:p w:rsidR="00101B4D" w:rsidRDefault="00101B4D">
      <w:pPr>
        <w:spacing w:line="360" w:lineRule="auto"/>
        <w:jc w:val="center"/>
      </w:pPr>
    </w:p>
    <w:p w:rsidR="00101B4D" w:rsidRDefault="005B766C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666C3CC" wp14:editId="5F727107">
            <wp:extent cx="5941060" cy="2631750"/>
            <wp:effectExtent l="0" t="0" r="254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1B4D" w:rsidRDefault="00B41AE5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Рис. 1. Динамика результативности по ЕГЭ</w:t>
      </w:r>
    </w:p>
    <w:p w:rsidR="00F57844" w:rsidRDefault="00F57844">
      <w:pPr>
        <w:spacing w:line="360" w:lineRule="auto"/>
        <w:ind w:firstLine="70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01B4D" w:rsidRDefault="00B41AE5">
      <w:pPr>
        <w:spacing w:line="360" w:lineRule="auto"/>
        <w:ind w:firstLine="705"/>
        <w:jc w:val="right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2. Результативность ОГЭ по информатике</w:t>
      </w:r>
    </w:p>
    <w:tbl>
      <w:tblPr>
        <w:tblStyle w:val="a6"/>
        <w:tblW w:w="97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145"/>
        <w:gridCol w:w="2115"/>
        <w:gridCol w:w="1545"/>
        <w:gridCol w:w="2580"/>
      </w:tblGrid>
      <w:tr w:rsidR="00101B4D">
        <w:trPr>
          <w:jc w:val="center"/>
        </w:trPr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сдачи ОГЭ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выпускников, сдававших ОГЭ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Успеваемость, %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Качество, %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Максимальный балл из 22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(кол-во учащихся)</w:t>
            </w:r>
          </w:p>
        </w:tc>
      </w:tr>
      <w:tr w:rsidR="00101B4D">
        <w:trPr>
          <w:jc w:val="center"/>
        </w:trPr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2012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 (5)</w:t>
            </w:r>
          </w:p>
        </w:tc>
      </w:tr>
      <w:tr w:rsidR="00101B4D">
        <w:trPr>
          <w:jc w:val="center"/>
        </w:trPr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2013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(2)</w:t>
            </w:r>
          </w:p>
        </w:tc>
      </w:tr>
      <w:tr w:rsidR="00101B4D">
        <w:trPr>
          <w:jc w:val="center"/>
        </w:trPr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21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01B4D" w:rsidRDefault="00B41AE5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 (1)</w:t>
            </w:r>
          </w:p>
        </w:tc>
      </w:tr>
    </w:tbl>
    <w:p w:rsidR="00101B4D" w:rsidRDefault="00101B4D">
      <w:pPr>
        <w:spacing w:line="360" w:lineRule="auto"/>
        <w:jc w:val="both"/>
      </w:pPr>
    </w:p>
    <w:p w:rsidR="00101B4D" w:rsidRDefault="005B766C">
      <w:pPr>
        <w:spacing w:after="100" w:line="360" w:lineRule="auto"/>
        <w:jc w:val="both"/>
      </w:pPr>
      <w:r>
        <w:rPr>
          <w:noProof/>
        </w:rPr>
        <w:lastRenderedPageBreak/>
        <w:drawing>
          <wp:inline distT="0" distB="0" distL="0" distR="0" wp14:anchorId="4467066A" wp14:editId="3F6DE76D">
            <wp:extent cx="5941060" cy="2640948"/>
            <wp:effectExtent l="0" t="0" r="254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1B4D" w:rsidRDefault="00B41AE5">
      <w:pPr>
        <w:spacing w:after="10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Рис. 2. Динамика результативности по ОГЭ</w:t>
      </w:r>
    </w:p>
    <w:p w:rsidR="00101B4D" w:rsidRDefault="005B766C">
      <w:pPr>
        <w:spacing w:line="360" w:lineRule="auto"/>
        <w:jc w:val="both"/>
      </w:pPr>
      <w:r>
        <w:rPr>
          <w:noProof/>
        </w:rPr>
        <w:drawing>
          <wp:inline distT="0" distB="0" distL="0" distR="0" wp14:anchorId="76540F0B" wp14:editId="11D22005">
            <wp:extent cx="5941060" cy="2494399"/>
            <wp:effectExtent l="0" t="0" r="2540" b="12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1B4D" w:rsidRDefault="005B766C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Рис. 3</w:t>
      </w:r>
      <w:r w:rsidR="00B41AE5">
        <w:rPr>
          <w:rFonts w:ascii="Times New Roman" w:eastAsia="Times New Roman" w:hAnsi="Times New Roman" w:cs="Times New Roman"/>
          <w:sz w:val="24"/>
          <w:szCs w:val="24"/>
        </w:rPr>
        <w:t>. Динамика участия учащихся в конкурсных мероприятиях по предмету</w:t>
      </w:r>
      <w:r w:rsidR="00D404A8">
        <w:rPr>
          <w:rFonts w:ascii="Times New Roman" w:eastAsia="Times New Roman" w:hAnsi="Times New Roman" w:cs="Times New Roman"/>
          <w:sz w:val="24"/>
          <w:szCs w:val="24"/>
        </w:rPr>
        <w:t>;</w:t>
      </w:r>
      <w:r w:rsidR="00D404A8">
        <w:rPr>
          <w:rFonts w:ascii="Times New Roman" w:eastAsia="Times New Roman" w:hAnsi="Times New Roman" w:cs="Times New Roman"/>
          <w:sz w:val="24"/>
          <w:szCs w:val="24"/>
        </w:rPr>
        <w:br/>
      </w:r>
      <w:r w:rsidR="00B41AE5">
        <w:rPr>
          <w:rFonts w:ascii="Times New Roman" w:eastAsia="Times New Roman" w:hAnsi="Times New Roman" w:cs="Times New Roman"/>
          <w:sz w:val="24"/>
          <w:szCs w:val="24"/>
        </w:rPr>
        <w:t>количество учащихся, вовлеченных в проектную деятельность</w:t>
      </w:r>
    </w:p>
    <w:p w:rsidR="004E003F" w:rsidRPr="004E003F" w:rsidRDefault="004E003F">
      <w:pPr>
        <w:spacing w:after="100" w:line="240" w:lineRule="auto"/>
        <w:jc w:val="center"/>
        <w:rPr>
          <w:sz w:val="2"/>
        </w:rPr>
      </w:pP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 свою работу я получила следующие награды и благодарности:</w:t>
      </w:r>
    </w:p>
    <w:p w:rsidR="00101B4D" w:rsidRDefault="00B41AE5" w:rsidP="00D404A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Грант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Лучший педагог в области ИКТ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Татарстан;</w:t>
      </w:r>
    </w:p>
    <w:p w:rsidR="00101B4D" w:rsidRDefault="00B41AE5" w:rsidP="00D404A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 министра образования Российской Федерации;</w:t>
      </w:r>
    </w:p>
    <w:p w:rsidR="00101B4D" w:rsidRDefault="00B41AE5" w:rsidP="00D404A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Грамоту министра образования Республики Татарстан;</w:t>
      </w:r>
    </w:p>
    <w:p w:rsidR="00101B4D" w:rsidRDefault="00B41AE5" w:rsidP="00D404A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Грамоту  начальника Управления образования г. Казани;</w:t>
      </w:r>
    </w:p>
    <w:p w:rsidR="00101B4D" w:rsidRDefault="00B41AE5" w:rsidP="00D404A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Грамоту начальника районного отдела образования;</w:t>
      </w:r>
    </w:p>
    <w:p w:rsidR="00101B4D" w:rsidRDefault="00B41AE5" w:rsidP="00D404A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Благодарственные письма за подготовку победителей многочисленных конкурсов и олимпиад; отличную подготовку выпускников к итоговой аттестации; сотрудничество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высшими учебными заведениями;</w:t>
      </w:r>
    </w:p>
    <w:p w:rsidR="00101B4D" w:rsidRDefault="00B41AE5" w:rsidP="00D404A8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Дипломы за достижения в интеллектуальных играх, в спорте, в творческой и общественной деятельности.</w:t>
      </w:r>
    </w:p>
    <w:p w:rsidR="00101B4D" w:rsidRDefault="00B41AE5">
      <w:pPr>
        <w:spacing w:line="360" w:lineRule="auto"/>
        <w:ind w:firstLine="70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Моя методическая работа по выбранной теме нашла свое отражение в электронных изданиях журнала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Педагогический мир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Центра дистанционной поддержки учителей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Академия Педагогики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была представлена на семинарах различного уровня. Результаты методического опыта легли в основу многих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направлений работы центра информационных технологий лице</w:t>
      </w:r>
      <w:r w:rsidR="00771086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№177, что впоследствии привело к формированию республиканского сетевого проекта 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Школьная Академия Наук и Сотрудничества (ШАНС)</w:t>
      </w:r>
      <w:r w:rsidR="004E003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ежегодно объединяет учителей и учащихся нашей республики.</w:t>
      </w:r>
    </w:p>
    <w:p w:rsidR="00D404A8" w:rsidRPr="00D404A8" w:rsidRDefault="004E003F" w:rsidP="00D404A8">
      <w:pPr>
        <w:spacing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04A8" w:rsidRPr="00D404A8">
        <w:rPr>
          <w:rFonts w:ascii="Times New Roman" w:eastAsia="Times New Roman" w:hAnsi="Times New Roman" w:cs="Times New Roman"/>
          <w:sz w:val="28"/>
          <w:szCs w:val="28"/>
        </w:rPr>
        <w:t>Люди вместе могут совершить то, чего не в силах сделать в одиночку; единение умов и рук, сосредоточение их сил</w:t>
      </w:r>
      <w:r w:rsidR="00D404A8">
        <w:rPr>
          <w:rFonts w:ascii="Times New Roman" w:eastAsia="Times New Roman" w:hAnsi="Times New Roman" w:cs="Times New Roman"/>
          <w:sz w:val="28"/>
          <w:szCs w:val="28"/>
        </w:rPr>
        <w:t xml:space="preserve"> может стать почти всемогущим!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04A8">
        <w:rPr>
          <w:rFonts w:ascii="Times New Roman" w:eastAsia="Times New Roman" w:hAnsi="Times New Roman" w:cs="Times New Roman"/>
          <w:sz w:val="28"/>
          <w:szCs w:val="28"/>
        </w:rPr>
        <w:t xml:space="preserve"> - писал  </w:t>
      </w:r>
      <w:r w:rsidR="00D404A8" w:rsidRPr="00D404A8">
        <w:rPr>
          <w:rFonts w:ascii="Times New Roman" w:eastAsia="Times New Roman" w:hAnsi="Times New Roman" w:cs="Times New Roman"/>
          <w:sz w:val="28"/>
          <w:szCs w:val="28"/>
        </w:rPr>
        <w:t>Д. Уэбстер</w:t>
      </w:r>
      <w:r w:rsidR="00D404A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3FFE">
        <w:rPr>
          <w:rFonts w:ascii="Times New Roman" w:eastAsia="Times New Roman" w:hAnsi="Times New Roman" w:cs="Times New Roman"/>
          <w:sz w:val="28"/>
          <w:szCs w:val="28"/>
        </w:rPr>
        <w:t>Действительно, г</w:t>
      </w:r>
      <w:r w:rsidR="00B41AE5">
        <w:rPr>
          <w:rFonts w:ascii="Times New Roman" w:eastAsia="Times New Roman" w:hAnsi="Times New Roman" w:cs="Times New Roman"/>
          <w:sz w:val="28"/>
          <w:szCs w:val="28"/>
        </w:rPr>
        <w:t xml:space="preserve">рамотное использование возможностей сетевых взаимодействий позволяет мне эффективно и качественно </w:t>
      </w:r>
      <w:r w:rsidR="00D404A8">
        <w:rPr>
          <w:rFonts w:ascii="Times New Roman" w:eastAsia="Times New Roman" w:hAnsi="Times New Roman" w:cs="Times New Roman"/>
          <w:sz w:val="28"/>
          <w:szCs w:val="28"/>
        </w:rPr>
        <w:t xml:space="preserve">решать профессиональные задачи, </w:t>
      </w:r>
      <w:r w:rsidR="00A93FFE">
        <w:rPr>
          <w:rFonts w:ascii="Times New Roman" w:eastAsia="Times New Roman" w:hAnsi="Times New Roman" w:cs="Times New Roman"/>
          <w:sz w:val="28"/>
          <w:szCs w:val="28"/>
        </w:rPr>
        <w:t xml:space="preserve">совместно с коллегами и учащимися создавать новые творческие продукты, </w:t>
      </w:r>
      <w:r w:rsidR="00D404A8">
        <w:rPr>
          <w:rFonts w:ascii="Times New Roman" w:eastAsia="Times New Roman" w:hAnsi="Times New Roman" w:cs="Times New Roman"/>
          <w:sz w:val="28"/>
          <w:szCs w:val="28"/>
        </w:rPr>
        <w:t>реализо</w:t>
      </w:r>
      <w:r w:rsidR="00A93FFE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D404A8"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="00A93FFE">
        <w:rPr>
          <w:rFonts w:ascii="Times New Roman" w:eastAsia="Times New Roman" w:hAnsi="Times New Roman" w:cs="Times New Roman"/>
          <w:sz w:val="28"/>
          <w:szCs w:val="28"/>
        </w:rPr>
        <w:t xml:space="preserve">свои </w:t>
      </w:r>
      <w:r w:rsidR="00D404A8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идеи, </w:t>
      </w:r>
      <w:r w:rsidR="00A93FFE">
        <w:rPr>
          <w:rFonts w:ascii="Times New Roman" w:eastAsia="Times New Roman" w:hAnsi="Times New Roman" w:cs="Times New Roman"/>
          <w:sz w:val="28"/>
          <w:szCs w:val="28"/>
        </w:rPr>
        <w:t>всегда идти вперед и развиваться.</w:t>
      </w:r>
    </w:p>
    <w:p w:rsidR="0065744E" w:rsidRDefault="0065744E">
      <w:r>
        <w:br w:type="page"/>
      </w:r>
    </w:p>
    <w:p w:rsidR="00101B4D" w:rsidRPr="0065744E" w:rsidRDefault="0065744E" w:rsidP="006574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4E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65744E" w:rsidRPr="0065744E" w:rsidRDefault="0065744E" w:rsidP="0065744E">
      <w:pPr>
        <w:pStyle w:val="a9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44E">
        <w:rPr>
          <w:rFonts w:ascii="Times New Roman" w:hAnsi="Times New Roman" w:cs="Times New Roman"/>
          <w:sz w:val="28"/>
          <w:szCs w:val="28"/>
        </w:rPr>
        <w:t>Адамский</w:t>
      </w:r>
      <w:proofErr w:type="spellEnd"/>
      <w:r w:rsidRPr="0065744E">
        <w:rPr>
          <w:rFonts w:ascii="Times New Roman" w:hAnsi="Times New Roman" w:cs="Times New Roman"/>
          <w:sz w:val="28"/>
          <w:szCs w:val="28"/>
        </w:rPr>
        <w:t xml:space="preserve">, А. И. Модель сетевого взаимодействия// Библиотека </w:t>
      </w:r>
      <w:r w:rsidR="004E003F">
        <w:rPr>
          <w:rFonts w:ascii="Times New Roman" w:hAnsi="Times New Roman" w:cs="Times New Roman"/>
          <w:sz w:val="28"/>
          <w:szCs w:val="28"/>
        </w:rPr>
        <w:t>«</w:t>
      </w:r>
      <w:r w:rsidRPr="0065744E">
        <w:rPr>
          <w:rFonts w:ascii="Times New Roman" w:hAnsi="Times New Roman" w:cs="Times New Roman"/>
          <w:sz w:val="28"/>
          <w:szCs w:val="28"/>
        </w:rPr>
        <w:t>Первого сентября</w:t>
      </w:r>
      <w:r w:rsidR="004E003F">
        <w:rPr>
          <w:rFonts w:ascii="Times New Roman" w:hAnsi="Times New Roman" w:cs="Times New Roman"/>
          <w:sz w:val="28"/>
          <w:szCs w:val="28"/>
        </w:rPr>
        <w:t>»</w:t>
      </w:r>
      <w:r w:rsidRPr="0065744E">
        <w:rPr>
          <w:rFonts w:ascii="Times New Roman" w:hAnsi="Times New Roman" w:cs="Times New Roman"/>
          <w:sz w:val="28"/>
          <w:szCs w:val="28"/>
        </w:rPr>
        <w:t xml:space="preserve">. Сер. </w:t>
      </w:r>
      <w:r w:rsidR="004E003F">
        <w:rPr>
          <w:rFonts w:ascii="Times New Roman" w:hAnsi="Times New Roman" w:cs="Times New Roman"/>
          <w:sz w:val="28"/>
          <w:szCs w:val="28"/>
        </w:rPr>
        <w:t>«</w:t>
      </w:r>
      <w:r w:rsidRPr="0065744E">
        <w:rPr>
          <w:rFonts w:ascii="Times New Roman" w:hAnsi="Times New Roman" w:cs="Times New Roman"/>
          <w:sz w:val="28"/>
          <w:szCs w:val="28"/>
        </w:rPr>
        <w:t>Управление школой</w:t>
      </w:r>
      <w:r w:rsidR="004E003F">
        <w:rPr>
          <w:rFonts w:ascii="Times New Roman" w:hAnsi="Times New Roman" w:cs="Times New Roman"/>
          <w:sz w:val="28"/>
          <w:szCs w:val="28"/>
        </w:rPr>
        <w:t>»</w:t>
      </w:r>
      <w:r w:rsidRPr="0065744E">
        <w:rPr>
          <w:rFonts w:ascii="Times New Roman" w:hAnsi="Times New Roman" w:cs="Times New Roman"/>
          <w:sz w:val="28"/>
          <w:szCs w:val="28"/>
        </w:rPr>
        <w:t>, 2002</w:t>
      </w:r>
    </w:p>
    <w:p w:rsidR="0065744E" w:rsidRPr="0065744E" w:rsidRDefault="0065744E" w:rsidP="0065744E">
      <w:pPr>
        <w:pStyle w:val="a9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44E">
        <w:rPr>
          <w:rFonts w:ascii="Times New Roman" w:hAnsi="Times New Roman" w:cs="Times New Roman"/>
          <w:sz w:val="28"/>
          <w:szCs w:val="28"/>
        </w:rPr>
        <w:t xml:space="preserve">Василевская, Е.В.   Сетевая организация методической работы на муниципальном уровне: методическое пособие. - М.:  </w:t>
      </w:r>
      <w:proofErr w:type="spellStart"/>
      <w:r w:rsidRPr="0065744E">
        <w:rPr>
          <w:rFonts w:ascii="Times New Roman" w:hAnsi="Times New Roman" w:cs="Times New Roman"/>
          <w:sz w:val="28"/>
          <w:szCs w:val="28"/>
        </w:rPr>
        <w:t>АПКиПРО</w:t>
      </w:r>
      <w:proofErr w:type="spellEnd"/>
      <w:r w:rsidRPr="0065744E">
        <w:rPr>
          <w:rFonts w:ascii="Times New Roman" w:hAnsi="Times New Roman" w:cs="Times New Roman"/>
          <w:sz w:val="28"/>
          <w:szCs w:val="28"/>
        </w:rPr>
        <w:t>, 2005</w:t>
      </w:r>
    </w:p>
    <w:p w:rsidR="0065744E" w:rsidRPr="0065744E" w:rsidRDefault="0065744E" w:rsidP="0065744E">
      <w:pPr>
        <w:pStyle w:val="a9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44E">
        <w:rPr>
          <w:rFonts w:ascii="Times New Roman" w:hAnsi="Times New Roman" w:cs="Times New Roman"/>
          <w:sz w:val="28"/>
          <w:szCs w:val="28"/>
        </w:rPr>
        <w:t xml:space="preserve">Василевская, Е.В.   Формирование исследовательской культуры педагога в рамках модели сетевого взаимодействия // </w:t>
      </w:r>
      <w:r w:rsidR="004E003F">
        <w:rPr>
          <w:rFonts w:ascii="Times New Roman" w:hAnsi="Times New Roman" w:cs="Times New Roman"/>
          <w:sz w:val="28"/>
          <w:szCs w:val="28"/>
        </w:rPr>
        <w:t>«</w:t>
      </w:r>
      <w:r w:rsidRPr="0065744E">
        <w:rPr>
          <w:rFonts w:ascii="Times New Roman" w:hAnsi="Times New Roman" w:cs="Times New Roman"/>
          <w:sz w:val="28"/>
          <w:szCs w:val="28"/>
        </w:rPr>
        <w:t>Методист</w:t>
      </w:r>
      <w:r w:rsidR="004E003F">
        <w:rPr>
          <w:rFonts w:ascii="Times New Roman" w:hAnsi="Times New Roman" w:cs="Times New Roman"/>
          <w:sz w:val="28"/>
          <w:szCs w:val="28"/>
        </w:rPr>
        <w:t>»</w:t>
      </w:r>
      <w:r w:rsidRPr="0065744E">
        <w:rPr>
          <w:rFonts w:ascii="Times New Roman" w:hAnsi="Times New Roman" w:cs="Times New Roman"/>
          <w:sz w:val="28"/>
          <w:szCs w:val="28"/>
        </w:rPr>
        <w:t>, №6, 2009</w:t>
      </w:r>
    </w:p>
    <w:p w:rsidR="0065744E" w:rsidRPr="0065744E" w:rsidRDefault="0065744E" w:rsidP="0065744E">
      <w:pPr>
        <w:pStyle w:val="a9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44E">
        <w:rPr>
          <w:rFonts w:ascii="Times New Roman" w:hAnsi="Times New Roman" w:cs="Times New Roman"/>
          <w:sz w:val="28"/>
          <w:szCs w:val="28"/>
        </w:rPr>
        <w:t xml:space="preserve">Глубокова Е.Н., Кондракова И.Э. Сетевое взаимодействие в сфере образования как развивающийся процесс в теории и практике/Педагогика в современном мире// Сборник статей всероссийской научной конференции. – Санкт-Петербург: Издательство </w:t>
      </w:r>
      <w:r w:rsidR="004E00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5744E">
        <w:rPr>
          <w:rFonts w:ascii="Times New Roman" w:hAnsi="Times New Roman" w:cs="Times New Roman"/>
          <w:sz w:val="28"/>
          <w:szCs w:val="28"/>
        </w:rPr>
        <w:t>Лема</w:t>
      </w:r>
      <w:proofErr w:type="spellEnd"/>
      <w:r w:rsidR="004E003F">
        <w:rPr>
          <w:rFonts w:ascii="Times New Roman" w:hAnsi="Times New Roman" w:cs="Times New Roman"/>
          <w:sz w:val="28"/>
          <w:szCs w:val="28"/>
        </w:rPr>
        <w:t>»</w:t>
      </w:r>
      <w:r w:rsidRPr="0065744E">
        <w:rPr>
          <w:rFonts w:ascii="Times New Roman" w:hAnsi="Times New Roman" w:cs="Times New Roman"/>
          <w:sz w:val="28"/>
          <w:szCs w:val="28"/>
        </w:rPr>
        <w:t>, 2011</w:t>
      </w:r>
    </w:p>
    <w:p w:rsidR="0065744E" w:rsidRPr="0065744E" w:rsidRDefault="0065744E" w:rsidP="0065744E">
      <w:pPr>
        <w:pStyle w:val="a9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44E">
        <w:rPr>
          <w:rFonts w:ascii="Times New Roman" w:hAnsi="Times New Roman" w:cs="Times New Roman"/>
          <w:sz w:val="28"/>
          <w:szCs w:val="28"/>
        </w:rPr>
        <w:t xml:space="preserve">Козырева, Е.Ю.  Опыт формирования сетевых проектных команд на основе новой модели конкурсов в сфере образования // </w:t>
      </w:r>
      <w:r w:rsidR="004E003F">
        <w:rPr>
          <w:rFonts w:ascii="Times New Roman" w:hAnsi="Times New Roman" w:cs="Times New Roman"/>
          <w:sz w:val="28"/>
          <w:szCs w:val="28"/>
        </w:rPr>
        <w:t>«</w:t>
      </w:r>
      <w:r w:rsidRPr="0065744E">
        <w:rPr>
          <w:rFonts w:ascii="Times New Roman" w:hAnsi="Times New Roman" w:cs="Times New Roman"/>
          <w:sz w:val="28"/>
          <w:szCs w:val="28"/>
        </w:rPr>
        <w:t>Вопросы образования</w:t>
      </w:r>
      <w:r w:rsidR="004E003F">
        <w:rPr>
          <w:rFonts w:ascii="Times New Roman" w:hAnsi="Times New Roman" w:cs="Times New Roman"/>
          <w:sz w:val="28"/>
          <w:szCs w:val="28"/>
        </w:rPr>
        <w:t>»</w:t>
      </w:r>
      <w:r w:rsidRPr="0065744E">
        <w:rPr>
          <w:rFonts w:ascii="Times New Roman" w:hAnsi="Times New Roman" w:cs="Times New Roman"/>
          <w:sz w:val="28"/>
          <w:szCs w:val="28"/>
        </w:rPr>
        <w:t>, 2009</w:t>
      </w:r>
    </w:p>
    <w:p w:rsidR="0065744E" w:rsidRPr="0065744E" w:rsidRDefault="0065744E" w:rsidP="0065744E">
      <w:pPr>
        <w:pStyle w:val="a9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44E">
        <w:rPr>
          <w:rFonts w:ascii="Times New Roman" w:hAnsi="Times New Roman" w:cs="Times New Roman"/>
          <w:sz w:val="28"/>
          <w:szCs w:val="28"/>
        </w:rPr>
        <w:t>Осяк</w:t>
      </w:r>
      <w:proofErr w:type="spellEnd"/>
      <w:r w:rsidRPr="0065744E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Pr="0065744E"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 w:rsidRPr="0065744E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65744E">
        <w:rPr>
          <w:rFonts w:ascii="Times New Roman" w:hAnsi="Times New Roman" w:cs="Times New Roman"/>
          <w:sz w:val="28"/>
          <w:szCs w:val="28"/>
        </w:rPr>
        <w:t>Колокольникова</w:t>
      </w:r>
      <w:proofErr w:type="spellEnd"/>
      <w:r w:rsidRPr="0065744E">
        <w:rPr>
          <w:rFonts w:ascii="Times New Roman" w:hAnsi="Times New Roman" w:cs="Times New Roman"/>
          <w:sz w:val="28"/>
          <w:szCs w:val="28"/>
        </w:rPr>
        <w:t xml:space="preserve"> З.У., Лобанова О.Б., </w:t>
      </w:r>
      <w:proofErr w:type="spellStart"/>
      <w:r w:rsidRPr="0065744E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65744E">
        <w:rPr>
          <w:rFonts w:ascii="Times New Roman" w:hAnsi="Times New Roman" w:cs="Times New Roman"/>
          <w:sz w:val="28"/>
          <w:szCs w:val="28"/>
        </w:rPr>
        <w:t xml:space="preserve"> Л.Н., Коршунова В.В. Сетевое взаимодействие в педагогическом образовании // </w:t>
      </w:r>
      <w:r w:rsidR="004E003F">
        <w:rPr>
          <w:rFonts w:ascii="Times New Roman" w:hAnsi="Times New Roman" w:cs="Times New Roman"/>
          <w:sz w:val="28"/>
          <w:szCs w:val="28"/>
        </w:rPr>
        <w:t>«</w:t>
      </w:r>
      <w:r w:rsidRPr="0065744E">
        <w:rPr>
          <w:rFonts w:ascii="Times New Roman" w:hAnsi="Times New Roman" w:cs="Times New Roman"/>
          <w:sz w:val="28"/>
          <w:szCs w:val="28"/>
        </w:rPr>
        <w:t>Современные проблемы науки и образования</w:t>
      </w:r>
      <w:r w:rsidR="004E003F">
        <w:rPr>
          <w:rFonts w:ascii="Times New Roman" w:hAnsi="Times New Roman" w:cs="Times New Roman"/>
          <w:sz w:val="28"/>
          <w:szCs w:val="28"/>
        </w:rPr>
        <w:t>»</w:t>
      </w:r>
      <w:r w:rsidRPr="0065744E">
        <w:rPr>
          <w:rFonts w:ascii="Times New Roman" w:hAnsi="Times New Roman" w:cs="Times New Roman"/>
          <w:sz w:val="28"/>
          <w:szCs w:val="28"/>
        </w:rPr>
        <w:t>, №1, 2015</w:t>
      </w:r>
    </w:p>
    <w:p w:rsidR="00101B4D" w:rsidRPr="0065744E" w:rsidRDefault="0065744E" w:rsidP="0065744E">
      <w:pPr>
        <w:pStyle w:val="a9"/>
        <w:numPr>
          <w:ilvl w:val="0"/>
          <w:numId w:val="2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744E">
        <w:rPr>
          <w:rFonts w:ascii="Times New Roman" w:hAnsi="Times New Roman" w:cs="Times New Roman"/>
          <w:sz w:val="28"/>
          <w:szCs w:val="28"/>
        </w:rPr>
        <w:t xml:space="preserve">Пустовалова, В.В.  Модели сетевой организации как условие успешного сопровождения одаренных детей // </w:t>
      </w:r>
      <w:r w:rsidR="004E003F">
        <w:rPr>
          <w:rFonts w:ascii="Times New Roman" w:hAnsi="Times New Roman" w:cs="Times New Roman"/>
          <w:sz w:val="28"/>
          <w:szCs w:val="28"/>
        </w:rPr>
        <w:t>«</w:t>
      </w:r>
      <w:r w:rsidRPr="0065744E">
        <w:rPr>
          <w:rFonts w:ascii="Times New Roman" w:hAnsi="Times New Roman" w:cs="Times New Roman"/>
          <w:sz w:val="28"/>
          <w:szCs w:val="28"/>
        </w:rPr>
        <w:t>Одаренный ребенок</w:t>
      </w:r>
      <w:r w:rsidR="004E003F">
        <w:rPr>
          <w:rFonts w:ascii="Times New Roman" w:hAnsi="Times New Roman" w:cs="Times New Roman"/>
          <w:sz w:val="28"/>
          <w:szCs w:val="28"/>
        </w:rPr>
        <w:t>»</w:t>
      </w:r>
      <w:r w:rsidRPr="0065744E">
        <w:rPr>
          <w:rFonts w:ascii="Times New Roman" w:hAnsi="Times New Roman" w:cs="Times New Roman"/>
          <w:sz w:val="28"/>
          <w:szCs w:val="28"/>
        </w:rPr>
        <w:t>, №3, 2010</w:t>
      </w:r>
    </w:p>
    <w:sectPr w:rsidR="00101B4D" w:rsidRPr="0065744E">
      <w:pgSz w:w="11906" w:h="16838"/>
      <w:pgMar w:top="1133" w:right="850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704"/>
    <w:multiLevelType w:val="multilevel"/>
    <w:tmpl w:val="9DDEF6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0381F71"/>
    <w:multiLevelType w:val="hybridMultilevel"/>
    <w:tmpl w:val="B8AE5B7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1B4D"/>
    <w:rsid w:val="00101B4D"/>
    <w:rsid w:val="004E003F"/>
    <w:rsid w:val="005B766C"/>
    <w:rsid w:val="0065744E"/>
    <w:rsid w:val="006B6AB7"/>
    <w:rsid w:val="00771086"/>
    <w:rsid w:val="00A93FFE"/>
    <w:rsid w:val="00B41AE5"/>
    <w:rsid w:val="00D404A8"/>
    <w:rsid w:val="00E256D0"/>
    <w:rsid w:val="00F5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D40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4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7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D40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4A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7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nuriatalgatovna/hom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u.tatar.ru/nsav/page2624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-6\Downloads\&#1056;&#1077;&#1079;&#1091;&#1083;&#1100;&#1090;&#1072;&#1090;&#1080;&#1074;&#1085;&#1086;&#1089;&#1090;&#110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-6\Downloads\&#1056;&#1077;&#1079;&#1091;&#1083;&#1100;&#1090;&#1072;&#1090;&#1080;&#1074;&#1085;&#1086;&#1089;&#1090;&#110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1;-6\Downloads\&#1056;&#1077;&#1079;&#1091;&#1083;&#1100;&#1090;&#1072;&#1090;&#1080;&#1074;&#1085;&#1086;&#1089;&#1090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Сравнительные результаты ЕГЭ по информатике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[Результативность.xlsx]Лист1!$A$2</c:f>
              <c:strCache>
                <c:ptCount val="1"/>
                <c:pt idx="0">
                  <c:v>Средний балл моих учащихся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213740458015267E-2"/>
                  <c:y val="-9.2112821524517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84987277353689E-2"/>
                  <c:y val="-3.2239487533581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178117048346057E-2"/>
                  <c:y val="-0.110535385829421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[Результативность.xlsx]Лист1!$B$1:$D$1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2015</c:v>
                </c:pt>
              </c:numCache>
            </c:numRef>
          </c:cat>
          <c:val>
            <c:numRef>
              <c:f>[Результативность.xlsx]Лист1!$B$2:$D$2</c:f>
              <c:numCache>
                <c:formatCode>0.00%</c:formatCode>
                <c:ptCount val="3"/>
                <c:pt idx="0" formatCode="0%">
                  <c:v>0.69</c:v>
                </c:pt>
                <c:pt idx="1">
                  <c:v>0.80500000000000005</c:v>
                </c:pt>
                <c:pt idx="2">
                  <c:v>0.68899999999999995</c:v>
                </c:pt>
              </c:numCache>
            </c:numRef>
          </c:val>
        </c:ser>
        <c:ser>
          <c:idx val="1"/>
          <c:order val="1"/>
          <c:tx>
            <c:strRef>
              <c:f>[Результативность.xlsx]Лист1!$A$3</c:f>
              <c:strCache>
                <c:ptCount val="1"/>
                <c:pt idx="0">
                  <c:v>Средний балл по Татарстану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249363867684479E-2"/>
                  <c:y val="-5.9873333990936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391857506361322E-2"/>
                  <c:y val="-8.2901539372066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320610687022901E-2"/>
                  <c:y val="-0.115141026905647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[Результативность.xlsx]Лист1!$B$1:$D$1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2015</c:v>
                </c:pt>
              </c:numCache>
            </c:numRef>
          </c:cat>
          <c:val>
            <c:numRef>
              <c:f>[Результативность.xlsx]Лист1!$B$3:$D$3</c:f>
              <c:numCache>
                <c:formatCode>0.00%</c:formatCode>
                <c:ptCount val="3"/>
                <c:pt idx="0">
                  <c:v>0.67800000000000005</c:v>
                </c:pt>
                <c:pt idx="1">
                  <c:v>0.63700000000000001</c:v>
                </c:pt>
                <c:pt idx="2">
                  <c:v>0.59499999999999997</c:v>
                </c:pt>
              </c:numCache>
            </c:numRef>
          </c:val>
        </c:ser>
        <c:ser>
          <c:idx val="2"/>
          <c:order val="2"/>
          <c:tx>
            <c:strRef>
              <c:f>[Результативность.xlsx]Лист1!$A$4</c:f>
              <c:strCache>
                <c:ptCount val="1"/>
                <c:pt idx="0">
                  <c:v>Средний балл по России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356234096692113E-2"/>
                  <c:y val="-4.6056410762258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84987277353766E-2"/>
                  <c:y val="-2.3028205381129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458302053842244E-2"/>
                  <c:y val="-6.84226127139512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[Результативность.xlsx]Лист1!$B$1:$D$1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2015</c:v>
                </c:pt>
              </c:numCache>
            </c:numRef>
          </c:cat>
          <c:val>
            <c:numRef>
              <c:f>[Результативность.xlsx]Лист1!$B$4:$D$4</c:f>
              <c:numCache>
                <c:formatCode>0.00%</c:formatCode>
                <c:ptCount val="3"/>
                <c:pt idx="0">
                  <c:v>0.60699999999999998</c:v>
                </c:pt>
                <c:pt idx="1">
                  <c:v>0.63100000000000001</c:v>
                </c:pt>
                <c:pt idx="2">
                  <c:v>0.53600000000000003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42555008"/>
        <c:axId val="142556544"/>
        <c:axId val="0"/>
      </c:bar3DChart>
      <c:catAx>
        <c:axId val="14255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2556544"/>
        <c:crosses val="autoZero"/>
        <c:auto val="1"/>
        <c:lblAlgn val="ctr"/>
        <c:lblOffset val="100"/>
        <c:noMultiLvlLbl val="0"/>
      </c:catAx>
      <c:valAx>
        <c:axId val="14255654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1425550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Сравнительные результаты ОГЭ по информатике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[Результативность.xlsx]Лист2!$A$2</c:f>
              <c:strCache>
                <c:ptCount val="1"/>
                <c:pt idx="0">
                  <c:v>Средний балл моих учащихся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619329388560158E-3"/>
                  <c:y val="-8.64222073311248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06706114398421E-2"/>
                  <c:y val="-3.9933451235421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834319526627219E-2"/>
                  <c:y val="-4.8807551509959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[Результативность.xlsx]Лист2!$B$1:$D$1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2015</c:v>
                </c:pt>
              </c:numCache>
            </c:numRef>
          </c:cat>
          <c:val>
            <c:numRef>
              <c:f>[Результативность.xlsx]Лист2!$B$2:$D$2</c:f>
              <c:numCache>
                <c:formatCode>0.0</c:formatCode>
                <c:ptCount val="3"/>
                <c:pt idx="0">
                  <c:v>4.4000000000000004</c:v>
                </c:pt>
                <c:pt idx="1">
                  <c:v>4.9000000000000004</c:v>
                </c:pt>
                <c:pt idx="2">
                  <c:v>4.5999999999999996</c:v>
                </c:pt>
              </c:numCache>
            </c:numRef>
          </c:val>
        </c:ser>
        <c:ser>
          <c:idx val="1"/>
          <c:order val="1"/>
          <c:tx>
            <c:strRef>
              <c:f>[Результативность.xlsx]Лист2!$A$3</c:f>
              <c:strCache>
                <c:ptCount val="1"/>
                <c:pt idx="0">
                  <c:v>Средний балл по Татарстану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8619329388560158E-3"/>
                  <c:y val="-0.106489203294457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06706114398421E-2"/>
                  <c:y val="-3.99334512354214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06706114398421E-2"/>
                  <c:y val="-5.76816517844977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[Результативность.xlsx]Лист2!$B$1:$D$1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2015</c:v>
                </c:pt>
              </c:numCache>
            </c:numRef>
          </c:cat>
          <c:val>
            <c:numRef>
              <c:f>[Результативность.xlsx]Лист2!$B$3:$D$3</c:f>
              <c:numCache>
                <c:formatCode>0.0</c:formatCode>
                <c:ptCount val="3"/>
                <c:pt idx="0">
                  <c:v>3.9</c:v>
                </c:pt>
                <c:pt idx="1">
                  <c:v>4.5999999999999996</c:v>
                </c:pt>
                <c:pt idx="2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[Результативность.xlsx]Лист2!$A$4</c:f>
              <c:strCache>
                <c:ptCount val="1"/>
                <c:pt idx="0">
                  <c:v>Средний балл по России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778937396139094E-2"/>
                  <c:y val="-4.8807551509959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751323983910296E-2"/>
                  <c:y val="-4.4370501372690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779092702169626E-2"/>
                  <c:y val="-3.9933451235421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[Результативность.xlsx]Лист2!$B$1:$D$1</c:f>
              <c:numCache>
                <c:formatCode>General</c:formatCode>
                <c:ptCount val="3"/>
                <c:pt idx="0">
                  <c:v>2012</c:v>
                </c:pt>
                <c:pt idx="1">
                  <c:v>2013</c:v>
                </c:pt>
                <c:pt idx="2">
                  <c:v>2015</c:v>
                </c:pt>
              </c:numCache>
            </c:numRef>
          </c:cat>
          <c:val>
            <c:numRef>
              <c:f>[Результативность.xlsx]Лист2!$B$4:$D$4</c:f>
              <c:numCache>
                <c:formatCode>0.0</c:formatCode>
                <c:ptCount val="3"/>
                <c:pt idx="0">
                  <c:v>4.0999999999999996</c:v>
                </c:pt>
                <c:pt idx="1">
                  <c:v>4.2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42596736"/>
        <c:axId val="142741888"/>
        <c:axId val="0"/>
      </c:bar3DChart>
      <c:catAx>
        <c:axId val="14259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2741888"/>
        <c:crosses val="autoZero"/>
        <c:auto val="1"/>
        <c:lblAlgn val="ctr"/>
        <c:lblOffset val="100"/>
        <c:noMultiLvlLbl val="0"/>
      </c:catAx>
      <c:valAx>
        <c:axId val="142741888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crossAx val="142596736"/>
        <c:crosses val="autoZero"/>
        <c:crossBetween val="between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Результативность участия</a:t>
            </a:r>
            <a:r>
              <a:rPr lang="ru-RU" sz="1400" baseline="0"/>
              <a:t> в конкурсных мероприятиях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[Результативность.xlsx]Лист3!$B$1</c:f>
              <c:strCache>
                <c:ptCount val="1"/>
                <c:pt idx="0">
                  <c:v>Муниципальный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[Результативность.xlsx]Лист3!$A$2:$A$6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[Результативность.xlsx]Лист3!$B$2:$B$6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[Результативность.xlsx]Лист3!$C$1</c:f>
              <c:strCache>
                <c:ptCount val="1"/>
                <c:pt idx="0">
                  <c:v>Республиканский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[Результативность.xlsx]Лист3!$A$2:$A$6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[Результативность.xlsx]Лист3!$C$2:$C$6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8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[Результативность.xlsx]Лист3!$D$1</c:f>
              <c:strCache>
                <c:ptCount val="1"/>
                <c:pt idx="0">
                  <c:v>Всероссийский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[Результативность.xlsx]Лист3!$A$2:$A$6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[Результативность.xlsx]Лист3!$D$2:$D$6</c:f>
              <c:numCache>
                <c:formatCode>General</c:formatCode>
                <c:ptCount val="5"/>
                <c:pt idx="1">
                  <c:v>3</c:v>
                </c:pt>
                <c:pt idx="2">
                  <c:v>1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[Результативность.xlsx]Лист3!$E$1</c:f>
              <c:strCache>
                <c:ptCount val="1"/>
                <c:pt idx="0">
                  <c:v>Проектная деательность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[Результативность.xlsx]Лист3!$A$2:$A$6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[Результативность.xlsx]Лист3!$E$2:$E$6</c:f>
              <c:numCache>
                <c:formatCode>General</c:formatCode>
                <c:ptCount val="5"/>
                <c:pt idx="0">
                  <c:v>7</c:v>
                </c:pt>
                <c:pt idx="1">
                  <c:v>14</c:v>
                </c:pt>
                <c:pt idx="2">
                  <c:v>35</c:v>
                </c:pt>
                <c:pt idx="3">
                  <c:v>33</c:v>
                </c:pt>
                <c:pt idx="4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42795520"/>
        <c:axId val="142797056"/>
        <c:axId val="0"/>
      </c:bar3DChart>
      <c:catAx>
        <c:axId val="14279552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2797056"/>
        <c:crosses val="autoZero"/>
        <c:auto val="1"/>
        <c:lblAlgn val="ctr"/>
        <c:lblOffset val="100"/>
        <c:noMultiLvlLbl val="0"/>
      </c:catAx>
      <c:valAx>
        <c:axId val="1427970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2795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Гаязова</cp:lastModifiedBy>
  <cp:revision>9</cp:revision>
  <dcterms:created xsi:type="dcterms:W3CDTF">2016-02-04T13:56:00Z</dcterms:created>
  <dcterms:modified xsi:type="dcterms:W3CDTF">2016-02-12T07:01:00Z</dcterms:modified>
</cp:coreProperties>
</file>